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1A" w:rsidRDefault="00BE511A" w:rsidP="00B56BC6">
      <w:pPr>
        <w:jc w:val="center"/>
        <w:rPr>
          <w:rFonts w:ascii="Kz Times New Roman" w:hAnsi="Kz Times New Roman"/>
          <w:b/>
          <w:lang w:val="kk-KZ"/>
        </w:rPr>
      </w:pPr>
      <w:bookmarkStart w:id="0" w:name="_GoBack"/>
      <w:bookmarkEnd w:id="0"/>
      <w:r>
        <w:rPr>
          <w:rFonts w:ascii="Kz Times New Roman" w:hAnsi="Kz Times New Roman"/>
          <w:b/>
          <w:lang w:val="kk-KZ"/>
        </w:rPr>
        <w:t>МӨӨЖ бойынша берілетін тапсырмалар:</w:t>
      </w:r>
    </w:p>
    <w:p w:rsidR="00BE511A" w:rsidRDefault="00BE511A" w:rsidP="00BE511A">
      <w:pPr>
        <w:rPr>
          <w:rFonts w:ascii="Kz Times New Roman" w:hAnsi="Kz Times New Roman"/>
          <w:b/>
          <w:lang w:val="kk-KZ"/>
        </w:rPr>
      </w:pPr>
    </w:p>
    <w:p w:rsidR="00BE511A" w:rsidRPr="00BE511A" w:rsidRDefault="00BE511A" w:rsidP="00BE511A">
      <w:pPr>
        <w:pStyle w:val="a4"/>
        <w:numPr>
          <w:ilvl w:val="0"/>
          <w:numId w:val="2"/>
        </w:numPr>
        <w:rPr>
          <w:rFonts w:ascii="Kz Times New Roman" w:hAnsi="Kz Times New Roman"/>
          <w:lang w:val="kk-KZ"/>
        </w:rPr>
      </w:pPr>
      <w:r w:rsidRPr="00BE511A">
        <w:rPr>
          <w:rFonts w:ascii="Kz Times New Roman" w:hAnsi="Kz Times New Roman"/>
          <w:lang w:val="kk-KZ"/>
        </w:rPr>
        <w:t>Теория және методология ұғымдары: ұқсастығы мен айырмашылығы</w:t>
      </w:r>
    </w:p>
    <w:p w:rsidR="00BE511A" w:rsidRDefault="00BE511A" w:rsidP="00BE511A">
      <w:pPr>
        <w:pStyle w:val="a4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Теория мен методология ұғымдары және олардың айырмашылықтары туралы баяндау</w:t>
      </w:r>
    </w:p>
    <w:p w:rsidR="00BE511A" w:rsidRPr="00BE511A" w:rsidRDefault="00BE511A" w:rsidP="00BE511A">
      <w:pPr>
        <w:pStyle w:val="a4"/>
        <w:rPr>
          <w:rFonts w:ascii="Kz Times New Roman" w:hAnsi="Kz Times New Roman"/>
          <w:lang w:val="kk-KZ"/>
        </w:rPr>
      </w:pPr>
    </w:p>
    <w:p w:rsidR="00BE511A" w:rsidRPr="00BE511A" w:rsidRDefault="00BE511A" w:rsidP="00BE511A">
      <w:pPr>
        <w:pStyle w:val="a4"/>
        <w:numPr>
          <w:ilvl w:val="0"/>
          <w:numId w:val="2"/>
        </w:numPr>
        <w:rPr>
          <w:rFonts w:ascii="Kz Times New Roman" w:hAnsi="Kz Times New Roman"/>
          <w:lang w:val="kk-KZ" w:eastAsia="ar-SA"/>
        </w:rPr>
      </w:pPr>
      <w:r w:rsidRPr="00BE511A">
        <w:rPr>
          <w:rFonts w:ascii="Kz Times New Roman" w:hAnsi="Kz Times New Roman"/>
          <w:lang w:val="kk-KZ" w:eastAsia="ar-SA"/>
        </w:rPr>
        <w:t>Функционализм: мәні, қалыптасуы мен дамуы.</w:t>
      </w:r>
    </w:p>
    <w:p w:rsidR="00BE511A" w:rsidRPr="00BE511A" w:rsidRDefault="00BE511A" w:rsidP="00BE511A">
      <w:pPr>
        <w:pStyle w:val="a4"/>
        <w:rPr>
          <w:rFonts w:ascii="Kz Times New Roman" w:hAnsi="Kz Times New Roman"/>
          <w:lang w:val="kk-KZ"/>
        </w:rPr>
      </w:pPr>
      <w:r w:rsidRPr="00BE511A">
        <w:rPr>
          <w:rFonts w:ascii="Kz Times New Roman" w:hAnsi="Kz Times New Roman"/>
          <w:lang w:val="kk-KZ" w:eastAsia="ar-SA"/>
        </w:rPr>
        <w:t>Функционализм</w:t>
      </w:r>
      <w:r>
        <w:rPr>
          <w:rFonts w:ascii="Kz Times New Roman" w:hAnsi="Kz Times New Roman"/>
          <w:lang w:val="kk-KZ" w:eastAsia="ar-SA"/>
        </w:rPr>
        <w:t>нің методологиялық бағыт ретіндегі орны, мәні мен маңызы және негізін салушылар, даму барысы және бүгінгі жағдайы туралы сипаттау</w:t>
      </w:r>
    </w:p>
    <w:p w:rsidR="00BE511A" w:rsidRPr="00BE511A" w:rsidRDefault="00BE511A" w:rsidP="00BE511A">
      <w:pPr>
        <w:pStyle w:val="a4"/>
        <w:numPr>
          <w:ilvl w:val="0"/>
          <w:numId w:val="2"/>
        </w:numPr>
        <w:rPr>
          <w:rFonts w:ascii="Kz Times New Roman" w:hAnsi="Kz Times New Roman"/>
          <w:lang w:val="kk-KZ" w:eastAsia="ar-SA"/>
        </w:rPr>
      </w:pPr>
      <w:r w:rsidRPr="00BE511A">
        <w:rPr>
          <w:rFonts w:ascii="Kz Times New Roman" w:hAnsi="Kz Times New Roman"/>
          <w:lang w:val="kk-KZ" w:eastAsia="ar-SA"/>
        </w:rPr>
        <w:t>Позитивизмнің қалыптасуы мен дамуы, көрнекті өкілдері.</w:t>
      </w:r>
    </w:p>
    <w:p w:rsidR="00BE511A" w:rsidRPr="00BE511A" w:rsidRDefault="00BE511A" w:rsidP="00BE511A">
      <w:pPr>
        <w:pStyle w:val="a4"/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Позитивизмнің мәні мен мазмұны, негізін салушылардың өмірі мен еңбектері, методологиялық бағыт ретінде қолдану жолдары туралы жазу</w:t>
      </w:r>
    </w:p>
    <w:p w:rsidR="00BE511A" w:rsidRDefault="00BE511A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4, Эволюционизм және антиэволюционистер.</w:t>
      </w:r>
    </w:p>
    <w:p w:rsidR="00BE511A" w:rsidRDefault="00BE511A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Дебат түрінде екі топ бойышна өткізу</w:t>
      </w:r>
    </w:p>
    <w:p w:rsidR="00BE511A" w:rsidRDefault="00BE511A" w:rsidP="00BE511A">
      <w:pPr>
        <w:rPr>
          <w:rFonts w:ascii="Kz Times New Roman" w:hAnsi="Kz Times New Roman"/>
          <w:lang w:val="kk-KZ" w:eastAsia="ar-SA"/>
        </w:rPr>
      </w:pPr>
    </w:p>
    <w:p w:rsidR="00BE511A" w:rsidRDefault="00BE511A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5. Марксизм, неомарксизм және тарих ғылымы</w:t>
      </w:r>
    </w:p>
    <w:p w:rsidR="00BE511A" w:rsidRDefault="00BE511A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Эволюционизмнің дамуындағы марксизмнің орны, тарихи көзқарастарды сипаттаудағы таптық-партиялық көзқарастардың кері әсері көрсетілуі керек</w:t>
      </w:r>
    </w:p>
    <w:p w:rsidR="00B56BC6" w:rsidRDefault="00B56BC6" w:rsidP="00BE511A">
      <w:pPr>
        <w:rPr>
          <w:rFonts w:ascii="Kz Times New Roman" w:hAnsi="Kz Times New Roman"/>
          <w:lang w:val="kk-KZ" w:eastAsia="ar-SA"/>
        </w:rPr>
      </w:pPr>
    </w:p>
    <w:p w:rsidR="00BE511A" w:rsidRDefault="00B56BC6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6. Диффузионизм және тарих ғылымы</w:t>
      </w:r>
    </w:p>
    <w:p w:rsidR="00B56BC6" w:rsidRDefault="00B56BC6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Диффузионизмнің негізін салушылар, мәні және тарихи тұжырымдар жасаудағы орны баяндалып, тарихи үрдістерді сипаттауда пайдалану жолдары айқындалады</w:t>
      </w:r>
    </w:p>
    <w:p w:rsidR="00BE511A" w:rsidRDefault="00BE511A" w:rsidP="00BE511A">
      <w:pPr>
        <w:rPr>
          <w:rFonts w:ascii="Kz Times New Roman" w:hAnsi="Kz Times New Roman"/>
          <w:lang w:val="kk-KZ" w:eastAsia="ar-SA"/>
        </w:rPr>
      </w:pPr>
    </w:p>
    <w:p w:rsidR="00BE511A" w:rsidRDefault="00B56BC6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7. Этнометодология</w:t>
      </w:r>
    </w:p>
    <w:p w:rsidR="00B56BC6" w:rsidRDefault="00B56BC6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Этнометодологияның мәні, негіздеушілері жіне олардың еңбектері мен көзқарастар жүйесі сипатталады</w:t>
      </w:r>
    </w:p>
    <w:p w:rsidR="00B56BC6" w:rsidRDefault="00B56BC6" w:rsidP="00BE511A">
      <w:pPr>
        <w:rPr>
          <w:rFonts w:ascii="Kz Times New Roman" w:hAnsi="Kz Times New Roman"/>
          <w:lang w:val="kk-KZ" w:eastAsia="ar-SA"/>
        </w:rPr>
      </w:pPr>
    </w:p>
    <w:p w:rsidR="00BE511A" w:rsidRDefault="00B56BC6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8. Феноменология</w:t>
      </w:r>
    </w:p>
    <w:p w:rsidR="00B56BC6" w:rsidRDefault="00B56BC6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Феноменологияның қалыптасуы, басты негіздеушілері бүгінгі ғылыми жамудағы рөлі көрсетіледі</w:t>
      </w:r>
    </w:p>
    <w:p w:rsidR="00B56BC6" w:rsidRDefault="00B56BC6" w:rsidP="00BE511A">
      <w:pPr>
        <w:rPr>
          <w:rFonts w:ascii="Kz Times New Roman" w:hAnsi="Kz Times New Roman"/>
          <w:lang w:val="kk-KZ" w:eastAsia="ar-SA"/>
        </w:rPr>
      </w:pPr>
    </w:p>
    <w:p w:rsidR="00BE511A" w:rsidRDefault="00BE511A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/>
        </w:rPr>
        <w:t>9.</w:t>
      </w:r>
      <w:r>
        <w:rPr>
          <w:rFonts w:ascii="Kz Times New Roman" w:hAnsi="Kz Times New Roman"/>
          <w:lang w:val="kk-KZ" w:eastAsia="ar-SA"/>
        </w:rPr>
        <w:t xml:space="preserve"> Методологиялық плюрализм</w:t>
      </w:r>
    </w:p>
    <w:p w:rsidR="00BE511A" w:rsidRDefault="00B56BC6" w:rsidP="00BE511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Плюрализм ұғымы оны методологиядағы орны айқындалуы керек.</w:t>
      </w:r>
    </w:p>
    <w:p w:rsidR="00B56BC6" w:rsidRDefault="00B56BC6" w:rsidP="00BE511A">
      <w:pPr>
        <w:rPr>
          <w:b/>
          <w:lang w:val="kk-KZ"/>
        </w:rPr>
      </w:pPr>
    </w:p>
    <w:p w:rsidR="00BE511A" w:rsidRDefault="00BE511A" w:rsidP="00B56BC6">
      <w:pPr>
        <w:jc w:val="center"/>
        <w:rPr>
          <w:lang w:val="kk-KZ"/>
        </w:rPr>
      </w:pPr>
      <w:r w:rsidRPr="003C1B91">
        <w:rPr>
          <w:b/>
          <w:lang w:val="kk-KZ"/>
        </w:rPr>
        <w:t>Әдебиет</w:t>
      </w:r>
    </w:p>
    <w:p w:rsidR="00BE511A" w:rsidRPr="00BE53AF" w:rsidRDefault="00BE511A" w:rsidP="00BE51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53AF">
        <w:rPr>
          <w:rFonts w:ascii="Times New Roman" w:hAnsi="Times New Roman"/>
          <w:sz w:val="24"/>
          <w:szCs w:val="24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BE511A" w:rsidRPr="00BE53AF" w:rsidRDefault="00BE511A" w:rsidP="00BE511A">
      <w:pPr>
        <w:numPr>
          <w:ilvl w:val="0"/>
          <w:numId w:val="1"/>
        </w:numPr>
      </w:pPr>
      <w:r w:rsidRPr="00BE53AF">
        <w:t>Королев А. А. Теория и методология современных исторических исследований. Библиограф. сб. М., 1995.</w:t>
      </w:r>
    </w:p>
    <w:p w:rsidR="00BE511A" w:rsidRPr="00BE53AF" w:rsidRDefault="00B40AC8" w:rsidP="00BE511A">
      <w:pPr>
        <w:numPr>
          <w:ilvl w:val="0"/>
          <w:numId w:val="1"/>
        </w:numPr>
        <w:jc w:val="both"/>
        <w:rPr>
          <w:color w:val="000000"/>
        </w:rPr>
      </w:pPr>
      <w:hyperlink r:id="rId5" w:history="1">
        <w:r w:rsidR="00BE511A" w:rsidRPr="00BE53AF">
          <w:rPr>
            <w:rStyle w:val="a3"/>
            <w:color w:val="000000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BE511A" w:rsidRPr="00BE53AF" w:rsidRDefault="00BE511A" w:rsidP="00BE511A">
      <w:pPr>
        <w:numPr>
          <w:ilvl w:val="0"/>
          <w:numId w:val="1"/>
        </w:numPr>
        <w:rPr>
          <w:color w:val="000000"/>
        </w:rPr>
      </w:pPr>
      <w:r w:rsidRPr="00BE53AF">
        <w:t>Коломийцев В. Ф. Методология истории (От источника к исследованию). М., 2001. — 191 с.</w:t>
      </w:r>
    </w:p>
    <w:p w:rsidR="00BE511A" w:rsidRPr="00BE53AF" w:rsidRDefault="00BE511A" w:rsidP="00BE511A">
      <w:pPr>
        <w:numPr>
          <w:ilvl w:val="0"/>
          <w:numId w:val="1"/>
        </w:numPr>
        <w:jc w:val="both"/>
      </w:pPr>
      <w:r w:rsidRPr="00BE53AF">
        <w:t>Медушевская О. М. Теория и методология когнитивной истории /О. М. Медушевская. — М., 2008</w:t>
      </w:r>
    </w:p>
    <w:p w:rsidR="00BE511A" w:rsidRPr="00BE53AF" w:rsidRDefault="00BE511A" w:rsidP="00BE511A">
      <w:pPr>
        <w:jc w:val="both"/>
        <w:rPr>
          <w:rFonts w:eastAsia="Calibri"/>
          <w:lang w:val="kk-KZ"/>
        </w:rPr>
      </w:pPr>
      <w:r w:rsidRPr="00BE53AF">
        <w:rPr>
          <w:rFonts w:eastAsia="Calibri"/>
          <w:lang w:val="kk-KZ"/>
        </w:rPr>
        <w:t>6. Новые направления методологии социологической науки. М., 2009.</w:t>
      </w:r>
    </w:p>
    <w:p w:rsidR="00BE511A" w:rsidRPr="00BE53AF" w:rsidRDefault="00BE511A" w:rsidP="00BE511A">
      <w:pPr>
        <w:jc w:val="both"/>
        <w:rPr>
          <w:lang w:val="kk-KZ"/>
        </w:rPr>
      </w:pPr>
      <w:r w:rsidRPr="00BE53AF">
        <w:rPr>
          <w:lang w:val="kk-KZ"/>
        </w:rPr>
        <w:t>7. Гуссерль Э. Идеи к чистой феноменологии и феноменологической философии. – М.: ДИК, 1999.-6-б.</w:t>
      </w:r>
    </w:p>
    <w:p w:rsidR="00BE511A" w:rsidRPr="00BE53AF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BE53AF">
        <w:rPr>
          <w:rFonts w:ascii="Times New Roman" w:hAnsi="Times New Roman"/>
          <w:sz w:val="24"/>
          <w:szCs w:val="24"/>
          <w:lang w:val="kk-KZ"/>
        </w:rPr>
        <w:t>Гуссерль Э. Картезианские мышления. – СПб., 2001.287-290бб.</w:t>
      </w:r>
    </w:p>
    <w:p w:rsidR="00BE511A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BE53AF">
        <w:rPr>
          <w:rFonts w:ascii="Times New Roman" w:hAnsi="Times New Roman"/>
          <w:sz w:val="24"/>
          <w:szCs w:val="24"/>
          <w:lang w:val="kk-KZ"/>
        </w:rPr>
        <w:lastRenderedPageBreak/>
        <w:t>Гуссерль Э. Кризис европейских наук и трансцендентальная феноменология. – СПб.: Фонд Университет: Владимир Даль,2004.</w:t>
      </w:r>
    </w:p>
    <w:p w:rsidR="00BE511A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BE53AF">
        <w:rPr>
          <w:rFonts w:ascii="Times New Roman" w:hAnsi="Times New Roman"/>
          <w:sz w:val="24"/>
          <w:szCs w:val="24"/>
          <w:lang w:val="kk-KZ"/>
        </w:rPr>
        <w:t>Гарфинкель Г. Исследования по этнометодологии.-СПб., 2007. –20-б.</w:t>
      </w:r>
    </w:p>
    <w:p w:rsidR="00BE511A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BE53AF">
        <w:rPr>
          <w:rFonts w:ascii="Times New Roman" w:hAnsi="Times New Roman"/>
          <w:sz w:val="24"/>
          <w:szCs w:val="24"/>
          <w:lang w:val="kk-KZ"/>
        </w:rPr>
        <w:t>Ингарден Р. Введение в феноменологию Эдмунда Гуссерля. М.,1999.</w:t>
      </w:r>
    </w:p>
    <w:p w:rsidR="00BE511A" w:rsidRPr="00397FCC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397FCC">
        <w:rPr>
          <w:rFonts w:ascii="Times New Roman" w:hAnsi="Times New Roman"/>
          <w:sz w:val="24"/>
          <w:szCs w:val="24"/>
          <w:lang w:val="kk-KZ"/>
        </w:rPr>
        <w:t>Шелер М. Феноменология и теория познания / Шелер М. Избранные произведения. М., 1994.</w:t>
      </w:r>
    </w:p>
    <w:p w:rsidR="00BE511A" w:rsidRPr="00397FCC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397FCC">
        <w:rPr>
          <w:rFonts w:ascii="Times New Roman" w:hAnsi="Times New Roman"/>
          <w:sz w:val="24"/>
          <w:szCs w:val="24"/>
          <w:lang w:val="kk-KZ"/>
        </w:rPr>
        <w:t>Мерло – Понти М. Феноменология восприятия. СПб., 1999.</w:t>
      </w:r>
    </w:p>
    <w:p w:rsidR="00BE511A" w:rsidRPr="00397FCC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397FCC">
        <w:rPr>
          <w:rFonts w:ascii="Times New Roman" w:hAnsi="Times New Roman"/>
          <w:sz w:val="24"/>
          <w:szCs w:val="24"/>
          <w:lang w:val="kk-KZ"/>
        </w:rPr>
        <w:t>Антология феноменологической философии в России, т.</w:t>
      </w:r>
      <w:r w:rsidRPr="00397FCC">
        <w:rPr>
          <w:rFonts w:ascii="Times New Roman" w:hAnsi="Times New Roman"/>
          <w:sz w:val="24"/>
          <w:szCs w:val="24"/>
          <w:lang w:val="en-US"/>
        </w:rPr>
        <w:t>I</w:t>
      </w:r>
      <w:r w:rsidRPr="00397FCC">
        <w:rPr>
          <w:rFonts w:ascii="Times New Roman" w:hAnsi="Times New Roman"/>
          <w:sz w:val="24"/>
          <w:szCs w:val="24"/>
          <w:lang w:val="kk-KZ"/>
        </w:rPr>
        <w:t>, М., 1997; То же, т.</w:t>
      </w:r>
      <w:r w:rsidRPr="00397FCC">
        <w:rPr>
          <w:rFonts w:ascii="Times New Roman" w:hAnsi="Times New Roman"/>
          <w:sz w:val="24"/>
          <w:szCs w:val="24"/>
          <w:lang w:val="en-US"/>
        </w:rPr>
        <w:t>II</w:t>
      </w:r>
      <w:r w:rsidRPr="00397FCC">
        <w:rPr>
          <w:rFonts w:ascii="Times New Roman" w:hAnsi="Times New Roman"/>
          <w:sz w:val="24"/>
          <w:szCs w:val="24"/>
        </w:rPr>
        <w:t>, М., 2000.</w:t>
      </w:r>
    </w:p>
    <w:p w:rsidR="00BE511A" w:rsidRPr="00397FCC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397FCC">
        <w:rPr>
          <w:rFonts w:ascii="Times New Roman" w:hAnsi="Times New Roman"/>
          <w:sz w:val="24"/>
          <w:szCs w:val="24"/>
          <w:lang w:val="en-US"/>
        </w:rPr>
        <w:t>Spiegelberg H. The Phenomenological Movement. A historical Introduction. V. 1-2. The Hague</w:t>
      </w:r>
      <w:r w:rsidRPr="00397FCC">
        <w:rPr>
          <w:rFonts w:ascii="Times New Roman" w:hAnsi="Times New Roman"/>
          <w:sz w:val="24"/>
          <w:szCs w:val="24"/>
          <w:lang w:val="kk-KZ"/>
        </w:rPr>
        <w:t>, 1969.</w:t>
      </w:r>
    </w:p>
    <w:p w:rsidR="00BE511A" w:rsidRPr="00397FCC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397FCC">
        <w:rPr>
          <w:rFonts w:ascii="Times New Roman" w:hAnsi="Times New Roman"/>
          <w:sz w:val="24"/>
          <w:szCs w:val="24"/>
          <w:lang w:val="kk-KZ"/>
        </w:rPr>
        <w:t>Феноменология в современном мире. Рига, 1991.</w:t>
      </w:r>
    </w:p>
    <w:p w:rsidR="00BE511A" w:rsidRPr="00397FCC" w:rsidRDefault="00BE511A" w:rsidP="00BE511A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397FCC">
        <w:rPr>
          <w:rFonts w:ascii="Times New Roman" w:hAnsi="Times New Roman"/>
          <w:sz w:val="24"/>
          <w:szCs w:val="24"/>
          <w:lang w:val="kk-KZ"/>
        </w:rPr>
        <w:t>Феноменологическая концепция сознания: проблемы и альтернативы. М., РГГУ, 1998.</w:t>
      </w:r>
    </w:p>
    <w:p w:rsidR="00BE511A" w:rsidRDefault="00BE511A" w:rsidP="00BE511A">
      <w:pPr>
        <w:rPr>
          <w:rFonts w:ascii="Kz Times New Roman" w:hAnsi="Kz Times New Roman"/>
          <w:lang w:val="kk-KZ"/>
        </w:rPr>
      </w:pPr>
    </w:p>
    <w:p w:rsidR="00300CC4" w:rsidRPr="00BE511A" w:rsidRDefault="00300CC4">
      <w:pPr>
        <w:rPr>
          <w:lang w:val="kk-KZ"/>
        </w:rPr>
      </w:pPr>
    </w:p>
    <w:sectPr w:rsidR="00300CC4" w:rsidRPr="00BE511A" w:rsidSect="0030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B71AC"/>
    <w:multiLevelType w:val="hybridMultilevel"/>
    <w:tmpl w:val="2D46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2E5"/>
    <w:multiLevelType w:val="hybridMultilevel"/>
    <w:tmpl w:val="EA42ADF8"/>
    <w:lvl w:ilvl="0" w:tplc="996C551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1A"/>
    <w:rsid w:val="00300CC4"/>
    <w:rsid w:val="00B40AC8"/>
    <w:rsid w:val="00B56BC6"/>
    <w:rsid w:val="00B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546DD-9815-40D8-92A8-7A5F428D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5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Учетная запись Майкрософт</cp:lastModifiedBy>
  <cp:revision>2</cp:revision>
  <dcterms:created xsi:type="dcterms:W3CDTF">2021-09-14T16:08:00Z</dcterms:created>
  <dcterms:modified xsi:type="dcterms:W3CDTF">2021-09-14T16:08:00Z</dcterms:modified>
</cp:coreProperties>
</file>